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35FF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35FF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7. </w:t>
      </w:r>
      <w:r w:rsidRPr="004615DE">
        <w:rPr>
          <w:rFonts w:ascii="Times New Roman" w:hAnsi="Times New Roman" w:cs="Times New Roman"/>
          <w:b/>
          <w:sz w:val="28"/>
          <w:szCs w:val="28"/>
        </w:rPr>
        <w:t>Модели ценообразования активов: CAPM</w:t>
      </w:r>
    </w:p>
    <w:p w:rsidR="001A35FF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A35FF" w:rsidRPr="00F53CC8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3CC8">
        <w:rPr>
          <w:rFonts w:ascii="Times New Roman" w:hAnsi="Times New Roman" w:cs="Times New Roman"/>
          <w:sz w:val="28"/>
          <w:szCs w:val="28"/>
        </w:rPr>
        <w:t xml:space="preserve">Распространенным подходом к оценке уровня премий за акционерный риск, применяемым на практике основными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инвестбанками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и аудиторами, является модель САРМ (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Capital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Asset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Pricing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Model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>), другое название – модель ценообраз</w:t>
      </w:r>
      <w:r w:rsidRPr="00F53CC8">
        <w:rPr>
          <w:rFonts w:ascii="Times New Roman" w:hAnsi="Times New Roman" w:cs="Times New Roman"/>
          <w:sz w:val="28"/>
          <w:szCs w:val="28"/>
        </w:rPr>
        <w:t>о</w:t>
      </w:r>
      <w:r w:rsidRPr="00F53CC8">
        <w:rPr>
          <w:rFonts w:ascii="Times New Roman" w:hAnsi="Times New Roman" w:cs="Times New Roman"/>
          <w:sz w:val="28"/>
          <w:szCs w:val="28"/>
        </w:rPr>
        <w:t>вания на рынке капитальных финансовых активов, изредка в учебной литературе встречается аббревиатура МОДА, то есть «модель оценки долгосрочных активов».</w:t>
      </w:r>
    </w:p>
    <w:p w:rsidR="001A35FF" w:rsidRPr="00F53CC8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3CC8">
        <w:rPr>
          <w:rFonts w:ascii="Times New Roman" w:hAnsi="Times New Roman" w:cs="Times New Roman"/>
          <w:sz w:val="28"/>
          <w:szCs w:val="28"/>
        </w:rPr>
        <w:t>Модель CAPM, чаще всего, применяется для объяснения динамики курсов ценных бумаг и функционирования механизма, посредством которого инвесторы могли бы оценивать влияние инвестиций в предполагаемые ценные бумаги на риск и доходность их портфеля.</w:t>
      </w:r>
    </w:p>
    <w:p w:rsidR="001A35FF" w:rsidRPr="00F53CC8" w:rsidRDefault="001A35FF" w:rsidP="001A35FF">
      <w:pPr>
        <w:spacing w:after="0"/>
        <w:ind w:left="-709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3CC8">
        <w:rPr>
          <w:rFonts w:ascii="Times New Roman" w:hAnsi="Times New Roman" w:cs="Times New Roman"/>
          <w:sz w:val="28"/>
          <w:szCs w:val="28"/>
        </w:rPr>
        <w:t xml:space="preserve">Концепция этой модели была разработана в 1950-х гг. в США Гарри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Марк</w:t>
      </w:r>
      <w:r w:rsidRPr="00F53CC8">
        <w:rPr>
          <w:rFonts w:ascii="Times New Roman" w:hAnsi="Times New Roman" w:cs="Times New Roman"/>
          <w:sz w:val="28"/>
          <w:szCs w:val="28"/>
        </w:rPr>
        <w:t>о</w:t>
      </w:r>
      <w:r w:rsidRPr="00F53CC8">
        <w:rPr>
          <w:rFonts w:ascii="Times New Roman" w:hAnsi="Times New Roman" w:cs="Times New Roman"/>
          <w:sz w:val="28"/>
          <w:szCs w:val="28"/>
        </w:rPr>
        <w:t>вицем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, дальнейшее развитие модель получила в работах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Jack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Treynor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(1961-1962гг.),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William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Sharpe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(1964г.),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John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Lintner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(1965г.) и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Jan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3CC8">
        <w:rPr>
          <w:rFonts w:ascii="Times New Roman" w:hAnsi="Times New Roman" w:cs="Times New Roman"/>
          <w:sz w:val="28"/>
          <w:szCs w:val="28"/>
        </w:rPr>
        <w:t>Mossin</w:t>
      </w:r>
      <w:proofErr w:type="spellEnd"/>
      <w:r w:rsidRPr="00F53CC8">
        <w:rPr>
          <w:rFonts w:ascii="Times New Roman" w:hAnsi="Times New Roman" w:cs="Times New Roman"/>
          <w:sz w:val="28"/>
          <w:szCs w:val="28"/>
        </w:rPr>
        <w:t xml:space="preserve"> (1966г.).</w:t>
      </w:r>
    </w:p>
    <w:p w:rsidR="001A35FF" w:rsidRDefault="001A35FF" w:rsidP="001A35FF">
      <w:pPr>
        <w:spacing w:after="0"/>
        <w:ind w:firstLine="420"/>
        <w:jc w:val="both"/>
        <w:rPr>
          <w:rFonts w:ascii="Times New Roman" w:hAnsi="Times New Roman" w:cs="Times New Roman"/>
          <w:sz w:val="28"/>
        </w:rPr>
      </w:pPr>
      <w:r w:rsidRPr="003E49FB">
        <w:rPr>
          <w:rFonts w:ascii="Times New Roman" w:hAnsi="Times New Roman" w:cs="Times New Roman"/>
          <w:sz w:val="28"/>
        </w:rPr>
        <w:t>Математической основой инвестиционного портфеля является теория ц</w:t>
      </w:r>
      <w:r w:rsidRPr="003E49FB">
        <w:rPr>
          <w:rFonts w:ascii="Times New Roman" w:hAnsi="Times New Roman" w:cs="Times New Roman"/>
          <w:sz w:val="28"/>
        </w:rPr>
        <w:t>е</w:t>
      </w:r>
      <w:r w:rsidRPr="003E49FB">
        <w:rPr>
          <w:rFonts w:ascii="Times New Roman" w:hAnsi="Times New Roman" w:cs="Times New Roman"/>
          <w:sz w:val="28"/>
        </w:rPr>
        <w:t>нообразования актив</w:t>
      </w:r>
      <w:r>
        <w:rPr>
          <w:rFonts w:ascii="Times New Roman" w:hAnsi="Times New Roman" w:cs="Times New Roman"/>
          <w:sz w:val="28"/>
        </w:rPr>
        <w:t>ов (</w:t>
      </w:r>
      <w:proofErr w:type="spellStart"/>
      <w:r>
        <w:rPr>
          <w:rFonts w:ascii="Times New Roman" w:hAnsi="Times New Roman" w:cs="Times New Roman"/>
          <w:sz w:val="28"/>
        </w:rPr>
        <w:t>Capital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Asset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Pricing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</w:rPr>
        <w:t>Model</w:t>
      </w:r>
      <w:proofErr w:type="spellEnd"/>
      <w:r>
        <w:rPr>
          <w:rFonts w:ascii="Times New Roman" w:hAnsi="Times New Roman" w:cs="Times New Roman"/>
          <w:sz w:val="28"/>
        </w:rPr>
        <w:t>)</w:t>
      </w:r>
      <w:r w:rsidRPr="003E49FB">
        <w:rPr>
          <w:rFonts w:ascii="Times New Roman" w:hAnsi="Times New Roman" w:cs="Times New Roman"/>
          <w:sz w:val="28"/>
        </w:rPr>
        <w:t xml:space="preserve"> САРМ. </w:t>
      </w:r>
    </w:p>
    <w:p w:rsidR="001A35FF" w:rsidRDefault="001A35FF" w:rsidP="001A35FF">
      <w:pPr>
        <w:spacing w:after="0"/>
        <w:ind w:firstLine="420"/>
        <w:jc w:val="both"/>
        <w:rPr>
          <w:rFonts w:ascii="Times New Roman" w:hAnsi="Times New Roman" w:cs="Times New Roman"/>
          <w:sz w:val="28"/>
        </w:rPr>
      </w:pPr>
      <w:r w:rsidRPr="003E49FB">
        <w:rPr>
          <w:rFonts w:ascii="Times New Roman" w:hAnsi="Times New Roman" w:cs="Times New Roman"/>
          <w:sz w:val="28"/>
        </w:rPr>
        <w:t xml:space="preserve">CAPM разделяет весь риск активов на две части: так называемую </w:t>
      </w:r>
      <w:proofErr w:type="spellStart"/>
      <w:r w:rsidRPr="003E49FB">
        <w:rPr>
          <w:rFonts w:ascii="Times New Roman" w:hAnsi="Times New Roman" w:cs="Times New Roman"/>
          <w:sz w:val="28"/>
        </w:rPr>
        <w:t>безри</w:t>
      </w:r>
      <w:r w:rsidRPr="003E49FB">
        <w:rPr>
          <w:rFonts w:ascii="Times New Roman" w:hAnsi="Times New Roman" w:cs="Times New Roman"/>
          <w:sz w:val="28"/>
        </w:rPr>
        <w:t>с</w:t>
      </w:r>
      <w:r w:rsidRPr="003E49FB">
        <w:rPr>
          <w:rFonts w:ascii="Times New Roman" w:hAnsi="Times New Roman" w:cs="Times New Roman"/>
          <w:sz w:val="28"/>
        </w:rPr>
        <w:t>ковую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составляющую и коэффициент бета. </w:t>
      </w:r>
      <w:proofErr w:type="gramStart"/>
      <w:r w:rsidRPr="003E49FB">
        <w:rPr>
          <w:rFonts w:ascii="Times New Roman" w:hAnsi="Times New Roman" w:cs="Times New Roman"/>
          <w:sz w:val="28"/>
        </w:rPr>
        <w:t>Последний</w:t>
      </w:r>
      <w:proofErr w:type="gramEnd"/>
      <w:r w:rsidRPr="003E49FB">
        <w:rPr>
          <w:rFonts w:ascii="Times New Roman" w:hAnsi="Times New Roman" w:cs="Times New Roman"/>
          <w:sz w:val="28"/>
        </w:rPr>
        <w:t xml:space="preserve"> называется систем</w:t>
      </w:r>
      <w:r w:rsidRPr="003E49FB">
        <w:rPr>
          <w:rFonts w:ascii="Times New Roman" w:hAnsi="Times New Roman" w:cs="Times New Roman"/>
          <w:sz w:val="28"/>
        </w:rPr>
        <w:t>а</w:t>
      </w:r>
      <w:r w:rsidRPr="003E49FB">
        <w:rPr>
          <w:rFonts w:ascii="Times New Roman" w:hAnsi="Times New Roman" w:cs="Times New Roman"/>
          <w:sz w:val="28"/>
        </w:rPr>
        <w:t>тическим (</w:t>
      </w:r>
      <w:proofErr w:type="spellStart"/>
      <w:r w:rsidRPr="003E49FB">
        <w:rPr>
          <w:rFonts w:ascii="Times New Roman" w:hAnsi="Times New Roman" w:cs="Times New Roman"/>
          <w:sz w:val="28"/>
        </w:rPr>
        <w:t>недиверсифицируемым</w:t>
      </w:r>
      <w:proofErr w:type="spellEnd"/>
      <w:r w:rsidRPr="003E49FB">
        <w:rPr>
          <w:rFonts w:ascii="Times New Roman" w:hAnsi="Times New Roman" w:cs="Times New Roman"/>
          <w:sz w:val="28"/>
        </w:rPr>
        <w:t>) риском и является столпом теории. Пре</w:t>
      </w:r>
      <w:r w:rsidRPr="003E49FB">
        <w:rPr>
          <w:rFonts w:ascii="Times New Roman" w:hAnsi="Times New Roman" w:cs="Times New Roman"/>
          <w:sz w:val="28"/>
        </w:rPr>
        <w:t>д</w:t>
      </w:r>
      <w:r w:rsidRPr="003E49FB">
        <w:rPr>
          <w:rFonts w:ascii="Times New Roman" w:hAnsi="Times New Roman" w:cs="Times New Roman"/>
          <w:sz w:val="28"/>
        </w:rPr>
        <w:t>посылки CAPM дают следующую формулу:</w:t>
      </w:r>
    </w:p>
    <w:p w:rsidR="001A35FF" w:rsidRPr="003E49FB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1A35FF" w:rsidRPr="003E49FB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proofErr w:type="spellStart"/>
      <w:r w:rsidRPr="003E49FB">
        <w:rPr>
          <w:rFonts w:ascii="Times New Roman" w:hAnsi="Times New Roman" w:cs="Times New Roman"/>
          <w:sz w:val="28"/>
        </w:rPr>
        <w:t>Ce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= </w:t>
      </w:r>
      <w:proofErr w:type="spellStart"/>
      <w:r w:rsidRPr="003E49FB">
        <w:rPr>
          <w:rFonts w:ascii="Times New Roman" w:hAnsi="Times New Roman" w:cs="Times New Roman"/>
          <w:sz w:val="28"/>
        </w:rPr>
        <w:t>Cf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+ β (</w:t>
      </w:r>
      <w:proofErr w:type="spellStart"/>
      <w:r w:rsidRPr="003E49FB">
        <w:rPr>
          <w:rFonts w:ascii="Times New Roman" w:hAnsi="Times New Roman" w:cs="Times New Roman"/>
          <w:sz w:val="28"/>
        </w:rPr>
        <w:t>Cm-Cf</w:t>
      </w:r>
      <w:proofErr w:type="spellEnd"/>
      <w:r w:rsidRPr="003E49FB">
        <w:rPr>
          <w:rFonts w:ascii="Times New Roman" w:hAnsi="Times New Roman" w:cs="Times New Roman"/>
          <w:sz w:val="28"/>
        </w:rPr>
        <w:t>),</w:t>
      </w:r>
    </w:p>
    <w:p w:rsidR="001A35FF" w:rsidRPr="003E49FB" w:rsidRDefault="001A35FF" w:rsidP="001A35FF">
      <w:pPr>
        <w:spacing w:after="0"/>
        <w:jc w:val="both"/>
        <w:rPr>
          <w:rFonts w:ascii="Times New Roman" w:hAnsi="Times New Roman" w:cs="Times New Roman"/>
          <w:sz w:val="28"/>
        </w:rPr>
      </w:pPr>
      <w:r w:rsidRPr="003E49FB">
        <w:rPr>
          <w:rFonts w:ascii="Times New Roman" w:hAnsi="Times New Roman" w:cs="Times New Roman"/>
          <w:sz w:val="28"/>
        </w:rPr>
        <w:t xml:space="preserve">где </w:t>
      </w:r>
      <w:r>
        <w:rPr>
          <w:rFonts w:ascii="Times New Roman" w:hAnsi="Times New Roman" w:cs="Times New Roman"/>
          <w:sz w:val="28"/>
        </w:rPr>
        <w:t xml:space="preserve"> </w:t>
      </w:r>
      <w:r w:rsidRPr="003E49FB">
        <w:rPr>
          <w:rFonts w:ascii="Times New Roman" w:hAnsi="Times New Roman" w:cs="Times New Roman"/>
          <w:sz w:val="28"/>
        </w:rPr>
        <w:t>Се — доходность выбранной акции;</w:t>
      </w:r>
    </w:p>
    <w:p w:rsidR="001A35FF" w:rsidRPr="003E49FB" w:rsidRDefault="001A35FF" w:rsidP="001A35FF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proofErr w:type="spellStart"/>
      <w:r w:rsidRPr="003E49FB">
        <w:rPr>
          <w:rFonts w:ascii="Times New Roman" w:hAnsi="Times New Roman" w:cs="Times New Roman"/>
          <w:sz w:val="28"/>
        </w:rPr>
        <w:t>Cf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— доходность </w:t>
      </w:r>
      <w:proofErr w:type="spellStart"/>
      <w:r w:rsidRPr="003E49FB">
        <w:rPr>
          <w:rFonts w:ascii="Times New Roman" w:hAnsi="Times New Roman" w:cs="Times New Roman"/>
          <w:sz w:val="28"/>
        </w:rPr>
        <w:t>безрисковых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вложений;</w:t>
      </w:r>
    </w:p>
    <w:p w:rsidR="001A35FF" w:rsidRPr="003E49FB" w:rsidRDefault="001A35FF" w:rsidP="001A35FF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 w:rsidRPr="003E49FB">
        <w:rPr>
          <w:rFonts w:ascii="Times New Roman" w:hAnsi="Times New Roman" w:cs="Times New Roman"/>
          <w:sz w:val="28"/>
        </w:rPr>
        <w:t>β — коэффициент, рассчитываемый для каждой акции;</w:t>
      </w:r>
    </w:p>
    <w:p w:rsidR="001A35FF" w:rsidRDefault="001A35FF" w:rsidP="001A35FF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proofErr w:type="spellStart"/>
      <w:r w:rsidRPr="003E49FB">
        <w:rPr>
          <w:rFonts w:ascii="Times New Roman" w:hAnsi="Times New Roman" w:cs="Times New Roman"/>
          <w:sz w:val="28"/>
        </w:rPr>
        <w:t>Cm</w:t>
      </w:r>
      <w:proofErr w:type="spellEnd"/>
      <w:r w:rsidRPr="003E49FB">
        <w:rPr>
          <w:rFonts w:ascii="Times New Roman" w:hAnsi="Times New Roman" w:cs="Times New Roman"/>
          <w:sz w:val="28"/>
        </w:rPr>
        <w:t xml:space="preserve"> — уровень доходности на рынке ценных бумаг.</w:t>
      </w:r>
    </w:p>
    <w:p w:rsidR="001A35FF" w:rsidRPr="003E49FB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2BBC603A" wp14:editId="74C44C69">
            <wp:extent cx="4261519" cy="2849770"/>
            <wp:effectExtent l="0" t="0" r="571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551" cy="28517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1 –  Модель САРМ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Каждый инвестор держит комбинацию эффективного портфеля и </w:t>
      </w:r>
      <w:proofErr w:type="spellStart"/>
      <w:r>
        <w:rPr>
          <w:rFonts w:ascii="Times New Roman" w:hAnsi="Times New Roman" w:cs="Times New Roman"/>
          <w:sz w:val="28"/>
        </w:rPr>
        <w:t>безрискового</w:t>
      </w:r>
      <w:proofErr w:type="spellEnd"/>
      <w:r>
        <w:rPr>
          <w:rFonts w:ascii="Times New Roman" w:hAnsi="Times New Roman" w:cs="Times New Roman"/>
          <w:sz w:val="28"/>
        </w:rPr>
        <w:t xml:space="preserve"> актива, т.е. выбирает точку «линии рынка капитала».</w:t>
      </w:r>
      <w:r w:rsidRPr="00886114">
        <w:rPr>
          <w:rFonts w:ascii="Times New Roman" w:hAnsi="Times New Roman" w:cs="Times New Roman"/>
          <w:sz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</w:rPr>
        <w:t>Какую ко</w:t>
      </w:r>
      <w:r>
        <w:rPr>
          <w:rFonts w:ascii="Times New Roman" w:hAnsi="Times New Roman" w:cs="Times New Roman"/>
          <w:sz w:val="28"/>
        </w:rPr>
        <w:t>н</w:t>
      </w:r>
      <w:r>
        <w:rPr>
          <w:rFonts w:ascii="Times New Roman" w:hAnsi="Times New Roman" w:cs="Times New Roman"/>
          <w:sz w:val="28"/>
        </w:rPr>
        <w:t>кретно зависит от отношения инвестора к риску.</w:t>
      </w:r>
      <w:proofErr w:type="gramEnd"/>
      <w:r>
        <w:rPr>
          <w:rFonts w:ascii="Times New Roman" w:hAnsi="Times New Roman" w:cs="Times New Roman"/>
          <w:sz w:val="28"/>
        </w:rPr>
        <w:t xml:space="preserve"> Эффективный портфель включает в себя все бумаги, существующие на рынке – рыночный портфель. Если есть бумага, не входящая  в эффективный портфель, значит ее никто не держит, </w:t>
      </w:r>
      <w:proofErr w:type="gramStart"/>
      <w:r>
        <w:rPr>
          <w:rFonts w:ascii="Times New Roman" w:hAnsi="Times New Roman" w:cs="Times New Roman"/>
          <w:sz w:val="28"/>
        </w:rPr>
        <w:t>а</w:t>
      </w:r>
      <w:proofErr w:type="gramEnd"/>
      <w:r>
        <w:rPr>
          <w:rFonts w:ascii="Times New Roman" w:hAnsi="Times New Roman" w:cs="Times New Roman"/>
          <w:sz w:val="28"/>
        </w:rPr>
        <w:t xml:space="preserve"> следовательно ее нет!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Ожидаемая доходность каждой бумаги определяется ее вкладом в волатильность эффективного портфеля, т.е. ее способностью улучшить диве</w:t>
      </w:r>
      <w:r>
        <w:rPr>
          <w:rFonts w:ascii="Times New Roman" w:hAnsi="Times New Roman" w:cs="Times New Roman"/>
          <w:sz w:val="28"/>
        </w:rPr>
        <w:t>р</w:t>
      </w:r>
      <w:r>
        <w:rPr>
          <w:rFonts w:ascii="Times New Roman" w:hAnsi="Times New Roman" w:cs="Times New Roman"/>
          <w:sz w:val="28"/>
        </w:rPr>
        <w:t>сификацию портфеля.</w:t>
      </w: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  <w:r w:rsidRPr="00886114"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B452F4" wp14:editId="05DF2965">
                <wp:simplePos x="0" y="0"/>
                <wp:positionH relativeFrom="column">
                  <wp:posOffset>857250</wp:posOffset>
                </wp:positionH>
                <wp:positionV relativeFrom="paragraph">
                  <wp:posOffset>1797685</wp:posOffset>
                </wp:positionV>
                <wp:extent cx="2374265" cy="1403985"/>
                <wp:effectExtent l="0" t="0" r="5080" b="0"/>
                <wp:wrapNone/>
                <wp:docPr id="2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5FF" w:rsidRDefault="001A35FF" w:rsidP="001A35FF">
                            <w:r>
                              <w:t>Волатильность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67.5pt;margin-top:141.55pt;width:186.95pt;height:110.5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" stroked="f">
                <v:textbox style="mso-fit-shape-to-text:t">
                  <w:txbxContent>
                    <w:p w:rsidR="001A35FF" w:rsidRDefault="001A35FF" w:rsidP="001A35FF">
                      <w:r>
                        <w:t>Волатильность</w:t>
                      </w:r>
                    </w:p>
                  </w:txbxContent>
                </v:textbox>
              </v:shape>
            </w:pict>
          </mc:Fallback>
        </mc:AlternateContent>
      </w:r>
      <w:r w:rsidRPr="005A1343"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43B77F" wp14:editId="09E358A2">
                <wp:simplePos x="0" y="0"/>
                <wp:positionH relativeFrom="column">
                  <wp:posOffset>184903</wp:posOffset>
                </wp:positionH>
                <wp:positionV relativeFrom="paragraph">
                  <wp:posOffset>2540</wp:posOffset>
                </wp:positionV>
                <wp:extent cx="413503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503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5FF" w:rsidRDefault="001A35FF" w:rsidP="001A35FF">
                            <w:pPr>
                              <w:spacing w:after="0" w:line="240" w:lineRule="auto"/>
                            </w:pPr>
                            <w:r>
                              <w:t>Ожидаемая доходность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4.55pt;margin-top:.2pt;width:32.5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" filled="f" stroked="f">
                <v:textbox style="layout-flow:vertical;mso-layout-flow-alt:bottom-to-top">
                  <w:txbxContent>
                    <w:p w:rsidR="001A35FF" w:rsidRDefault="001A35FF" w:rsidP="001A35FF">
                      <w:pPr>
                        <w:spacing w:after="0" w:line="240" w:lineRule="auto"/>
                      </w:pPr>
                      <w:r>
                        <w:t>Ожидаемая доходность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1CBFBFE" wp14:editId="398F2181">
            <wp:extent cx="2870791" cy="185006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5667" t="37384" r="24728" b="38768"/>
                    <a:stretch/>
                  </pic:blipFill>
                  <pic:spPr bwMode="auto">
                    <a:xfrm>
                      <a:off x="0" y="0"/>
                      <a:ext cx="2872135" cy="185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2 – Эффективная граница со всеми рискованными бумагами и </w:t>
      </w:r>
      <w:proofErr w:type="spellStart"/>
      <w:r>
        <w:rPr>
          <w:rFonts w:ascii="Times New Roman" w:hAnsi="Times New Roman" w:cs="Times New Roman"/>
          <w:sz w:val="28"/>
        </w:rPr>
        <w:t>безрисковой</w:t>
      </w:r>
      <w:proofErr w:type="spellEnd"/>
      <w:r>
        <w:rPr>
          <w:rFonts w:ascii="Times New Roman" w:hAnsi="Times New Roman" w:cs="Times New Roman"/>
          <w:sz w:val="28"/>
        </w:rPr>
        <w:t xml:space="preserve"> инвестицией</w:t>
      </w: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Ожидаемая доходность каждой бумаги определяется ее вкладом в волатильность эффективного портфеля или, эквивалентно, ее чувствительн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>стью к рыночному риску – коэффициентом бета.</w:t>
      </w: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30530CC" wp14:editId="392DE145">
            <wp:extent cx="3401695" cy="1127760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695" cy="1127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35FF" w:rsidRPr="004331D7" w:rsidRDefault="001A35FF" w:rsidP="001A35F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где     </w:t>
      </w:r>
      <w:proofErr w:type="spellStart"/>
      <w:r>
        <w:rPr>
          <w:rFonts w:ascii="Times New Roman" w:hAnsi="Times New Roman" w:cs="Times New Roman"/>
          <w:sz w:val="28"/>
          <w:lang w:val="en-US"/>
        </w:rPr>
        <w:t>R</w:t>
      </w:r>
      <w:r>
        <w:rPr>
          <w:rFonts w:ascii="Times New Roman" w:hAnsi="Times New Roman" w:cs="Times New Roman"/>
          <w:sz w:val="28"/>
          <w:vertAlign w:val="subscript"/>
          <w:lang w:val="en-US"/>
        </w:rPr>
        <w:t>Mkt</w:t>
      </w:r>
      <w:proofErr w:type="spellEnd"/>
      <w:r w:rsidRPr="004331D7">
        <w:rPr>
          <w:rFonts w:ascii="Times New Roman" w:hAnsi="Times New Roman" w:cs="Times New Roman"/>
          <w:sz w:val="28"/>
        </w:rPr>
        <w:t xml:space="preserve">  - </w:t>
      </w:r>
      <w:r>
        <w:rPr>
          <w:rFonts w:ascii="Times New Roman" w:hAnsi="Times New Roman" w:cs="Times New Roman"/>
          <w:sz w:val="28"/>
        </w:rPr>
        <w:t>доходность рыночного портфеля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Бета – чувствительность к «колебаниям рынка»</w:t>
      </w:r>
    </w:p>
    <w:p w:rsidR="001A35FF" w:rsidRDefault="001A35FF" w:rsidP="001A35FF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Большая чувствительность – слабая роль в диверсификации, большой вклад в волатильность, </w:t>
      </w:r>
      <w:proofErr w:type="gramStart"/>
      <w:r>
        <w:rPr>
          <w:rFonts w:ascii="Times New Roman" w:hAnsi="Times New Roman" w:cs="Times New Roman"/>
          <w:sz w:val="28"/>
        </w:rPr>
        <w:t>следовательно</w:t>
      </w:r>
      <w:proofErr w:type="gramEnd"/>
      <w:r>
        <w:rPr>
          <w:rFonts w:ascii="Times New Roman" w:hAnsi="Times New Roman" w:cs="Times New Roman"/>
          <w:sz w:val="28"/>
        </w:rPr>
        <w:t xml:space="preserve"> нужна компенсация за риск, а значит  большая ожидаемая доходность.</w:t>
      </w: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3027E1C5" wp14:editId="050D03E8">
            <wp:extent cx="2966484" cy="1310772"/>
            <wp:effectExtent l="0" t="0" r="5715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4026" t="36689" r="25192" b="46309"/>
                    <a:stretch/>
                  </pic:blipFill>
                  <pic:spPr bwMode="auto">
                    <a:xfrm>
                      <a:off x="0" y="0"/>
                      <a:ext cx="2966150" cy="13106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</w:p>
    <w:p w:rsidR="001A35FF" w:rsidRDefault="001A35FF" w:rsidP="001A35FF">
      <w:pPr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5F5B9DBE" wp14:editId="58BF6048">
            <wp:extent cx="4125433" cy="3163450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9909" t="25951" r="20181" b="35794"/>
                    <a:stretch/>
                  </pic:blipFill>
                  <pic:spPr bwMode="auto">
                    <a:xfrm>
                      <a:off x="0" y="0"/>
                      <a:ext cx="4124968" cy="3163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35FF" w:rsidRPr="00F74340" w:rsidRDefault="001A35FF" w:rsidP="001A35FF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7434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Рисунок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3 </w:t>
      </w:r>
      <w:r w:rsidRPr="00F74340">
        <w:rPr>
          <w:rFonts w:ascii="Times New Roman" w:hAnsi="Times New Roman" w:cs="Times New Roman"/>
          <w:noProof/>
          <w:sz w:val="28"/>
          <w:szCs w:val="28"/>
          <w:lang w:eastAsia="ru-RU"/>
        </w:rPr>
        <w:t>– Рыночная линия ценных бумаг (</w:t>
      </w:r>
      <w:r w:rsidRPr="00F74340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Securiti</w:t>
      </w:r>
      <w:r w:rsidRPr="00F7434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F74340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Market</w:t>
      </w:r>
      <w:r w:rsidRPr="00F7434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F74340">
        <w:rPr>
          <w:rFonts w:ascii="Times New Roman" w:hAnsi="Times New Roman" w:cs="Times New Roman"/>
          <w:noProof/>
          <w:sz w:val="28"/>
          <w:szCs w:val="28"/>
          <w:lang w:val="en-US" w:eastAsia="ru-RU"/>
        </w:rPr>
        <w:t>Line</w:t>
      </w:r>
      <w:r w:rsidRPr="00F74340">
        <w:rPr>
          <w:rFonts w:ascii="Times New Roman" w:hAnsi="Times New Roman" w:cs="Times New Roman"/>
          <w:noProof/>
          <w:sz w:val="28"/>
          <w:szCs w:val="28"/>
          <w:lang w:eastAsia="ru-RU"/>
        </w:rPr>
        <w:t>)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lastRenderedPageBreak/>
        <w:t>Данную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формулу можно рассматривать как просто линейную функцию ожидаемой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доходности </w:t>
      </w:r>
      <w:proofErr w:type="gramStart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от</w:t>
      </w:r>
      <w:proofErr w:type="gramEnd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бета.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Если зафиксир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овать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рыночную премию,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т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 тогда это просто некая функция от беты – это линейная функция, и все це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ные бумаги на рынке – они лежат где-то на этой линии, в зависимости от их чувствительности к системному риску, к рыночному риску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.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Рыночный портфель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,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обозначен красной точкой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, имеет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бету единица. 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Так как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корреляция рыночного портфеля с сам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и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м собой – это единица. </w:t>
      </w:r>
      <w:proofErr w:type="spellStart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е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з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рисковый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портфель, то есть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безрисковый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инструмент </w:t>
      </w:r>
      <w:proofErr w:type="gram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–л</w:t>
      </w:r>
      <w:proofErr w:type="gram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ежит строго на оси «игрек». У него бета равняется нулю. Потому что корреляция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безрискового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инструмента с портфелем равняется нулю. </w:t>
      </w:r>
      <w:proofErr w:type="spellStart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езрисковый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инструмент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и его доходность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не является случайной величиной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.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В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се другие ценные бумаги или какие-то портфели ценных бумаг, согласно теории, лежат где-то на этой прямой, в зависимости от их риска, от их чувствительности к рыночному портфелю.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Необходимо отметить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, что эта пр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ямая – это теоретическая прямая. В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реальности не совсем так.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Ц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енные бумаги будут разбросаны и не будут л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е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жать </w:t>
      </w:r>
      <w:proofErr w:type="gram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на</w:t>
      </w:r>
      <w:proofErr w:type="gram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прямой.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Вывод.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Ожидаемая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доходность ценной бумаги определяется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фактич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е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ски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тремя вещами: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-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безрисковой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ставкой доходности,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-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рыночной премией, то есть превышением ожидаемой доходности портфеля, рыночного портфеля над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безрисковой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ставкой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,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-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коэффициентом бета – чувствительностью бумаги к рыночному ри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с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ку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,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то есть к риску эффективного портфеля.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Фактически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правильная мера риска бумаги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–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это бета, а не волатил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ь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ность.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З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амечан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ия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по модели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: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- в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о-первых, если бумага рискованная, но не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коррелированна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 рынком, то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её доходность равна </w:t>
      </w:r>
      <w:proofErr w:type="spellStart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безрисковой</w:t>
      </w:r>
      <w:proofErr w:type="spellEnd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.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Если бумага не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коррелированна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 пор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т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фелем, то бета равняется нулю.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Безрисковая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доходность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означает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очень це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ую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бумаг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у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 точки зрения диверсификации. Поскольку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сама бумага тоже входит в оптимальный портфель, то тот факт, что корреляция с рынком ра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в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няется нулю, означает то, что корреляция бумаги с остальными бумагами в портфеле, то есть с рыночным портфелем, из которого исключена эта бумага, отрицательная. Это и говорит о способности бумаги к участию к диверсиф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и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кации, к созданию диверсификации.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</w:pP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- во-вторых,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если бета негативная, то ожидаемая доходность ценной бумаги </w:t>
      </w:r>
      <w:proofErr w:type="gram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–м</w:t>
      </w:r>
      <w:proofErr w:type="gram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еньше, чем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безрисковая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доходность. То есть фактически CAPM объясняет, почему могут быть рискованные инструменты с ожидаемой д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ходностью ниже </w:t>
      </w:r>
      <w:proofErr w:type="spell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безрисковой</w:t>
      </w:r>
      <w:proofErr w:type="spell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. </w:t>
      </w:r>
    </w:p>
    <w:p w:rsidR="001A35FF" w:rsidRDefault="001A35FF" w:rsidP="001A35FF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lastRenderedPageBreak/>
        <w:t>Модель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proofErr w:type="gramStart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САРМ</w:t>
      </w:r>
      <w:proofErr w:type="gramEnd"/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в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общем – модель идеального мира. 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Модель предста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в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ляет ценность с точки зрения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нек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ой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стартов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ой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позици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и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для изучения связи между риском и доходностью. Если</w:t>
      </w:r>
      <w:r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инвесторы в реальном мире не держат диверсифицированный портфель, то премия за риск будет зависеть не только </w:t>
      </w:r>
      <w:proofErr w:type="gram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от</w:t>
      </w:r>
      <w:proofErr w:type="gram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 </w:t>
      </w:r>
      <w:proofErr w:type="gramStart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>бета</w:t>
      </w:r>
      <w:proofErr w:type="gramEnd"/>
      <w:r w:rsidRPr="00F74340">
        <w:rPr>
          <w:rFonts w:ascii="Times New Roman" w:hAnsi="Times New Roman" w:cs="Times New Roman"/>
          <w:color w:val="373A3C"/>
          <w:sz w:val="28"/>
          <w:szCs w:val="28"/>
          <w:shd w:val="clear" w:color="auto" w:fill="F7F7F7"/>
        </w:rPr>
        <w:t xml:space="preserve">, но и от специфического риска конкретной бумаги. </w:t>
      </w:r>
    </w:p>
    <w:p w:rsidR="00CC55E5" w:rsidRDefault="00CC55E5">
      <w:bookmarkStart w:id="0" w:name="_GoBack"/>
      <w:bookmarkEnd w:id="0"/>
    </w:p>
    <w:sectPr w:rsidR="00CC55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6DF3"/>
    <w:rsid w:val="001A35FF"/>
    <w:rsid w:val="00486DF3"/>
    <w:rsid w:val="00CC5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35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35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35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35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35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35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787</Words>
  <Characters>4486</Characters>
  <Application>Microsoft Office Word</Application>
  <DocSecurity>0</DocSecurity>
  <Lines>37</Lines>
  <Paragraphs>10</Paragraphs>
  <ScaleCrop>false</ScaleCrop>
  <Company/>
  <LinksUpToDate>false</LinksUpToDate>
  <CharactersWithSpaces>5263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2020-06-19T10:31:00Z</dcterms:created>
  <dcterms:modified xsi:type="dcterms:W3CDTF">2020-06-19T10:31:00Z</dcterms:modified>
</cp:coreProperties>
</file>